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rId36.png" ContentType="image/png"/>
  <Override PartName="/word/media/rId38.png" ContentType="image/png"/>
  <Override PartName="/word/media/rId25.png" ContentType="image/png"/>
  <Override PartName="/word/media/rId39.png" ContentType="image/png"/>
  <Override PartName="/word/media/rId34.png" ContentType="image/png"/>
  <Override PartName="/word/media/rId3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Compact"/>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Blinded, . E-mail:</w:t>
      </w:r>
    </w:p>
    <w:p>
      <w:pPr>
        <w:pStyle w:val="Compact"/>
        <w:pStyle w:val="Titel"/>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pPr>
        <w:pStyle w:val="Textkrper"/>
      </w:pPr>
      <w:r>
        <w:rPr>
          <w:i/>
        </w:rPr>
        <w:t xml:space="preserve">Keywords:</w:t>
      </w:r>
      <w:r>
        <w:t xml:space="preserve"> </w:t>
      </w:r>
      <w:r>
        <w:t xml:space="preserve">social cognition; face perception; infancy; head cameras; deep learning</w:t>
      </w:r>
    </w:p>
    <w:p>
      <w:pPr>
        <w:pStyle w:val="Textkrper"/>
      </w:pPr>
      <w:r>
        <w:rPr>
          <w:i/>
        </w:rPr>
        <w:t xml:space="preserve">Word count:</w:t>
      </w:r>
      <w:r>
        <w:t xml:space="preserve"> </w:t>
      </w:r>
      <w:r>
        <w:t xml:space="preserve">4681</w:t>
      </w:r>
    </w:p>
    <w:p>
      <w:pPr>
        <w:pStyle w:val="Compact"/>
        <w:pStyle w:val="Titel"/>
      </w:pPr>
      <w:r>
        <w:t xml:space="preserve">A longitudinal analysis of the social information in infants’ naturalistic visual experience using automated detections</w:t>
      </w:r>
    </w:p>
    <w:p>
      <w:pPr>
        <w:pStyle w:val="berschrift1"/>
      </w:pPr>
      <w:bookmarkStart w:id="20" w:name="introduction"/>
      <w:r>
        <w:t xml:space="preserve">Introduction</w:t>
      </w:r>
      <w:bookmarkEnd w:id="20"/>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Smith, Jayaraman, Clerkin, &amp; Yu, 2018;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(Jayaraman, Fausey, &amp; Smith, 2013, 2015, 2017; Jayaraman &amp; Smith, 2018; Sugden, Mohamed-Ali, &amp; Moulson,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Luo &amp; Franchak, 2020; Sanchez, Long, Kraus, &amp; Frank, 2018; Yamamoto, Sato, &amp; Itakura, 2020)</w:t>
      </w:r>
      <w:r>
        <w:t xml:space="preserve"> </w:t>
      </w:r>
      <w:r>
        <w:t xml:space="preserve">as well as different views of objects</w:t>
      </w:r>
      <w:r>
        <w:t xml:space="preserve"> </w:t>
      </w:r>
      <w:r>
        <w:t xml:space="preserve">(Luo &amp; Franchak, 2020;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(Fausey et al., 2016a)</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perspective—the presence of faces and hands—by analyzing a longitudinal collection of more than 1700 headcam videos collected from three children along a span of 6 to 32 months of age—the SAYCam dataset</w:t>
      </w:r>
      <w:r>
        <w:t xml:space="preserve"> </w:t>
      </w:r>
      <w:r>
        <w:t xml:space="preserve">(Sullivan, Mei, Perfors, Wojcik, &amp; Frank, 2021)</w:t>
      </w:r>
      <w:r>
        <w:t xml:space="preserve">. In addition to its size and longitudinal nature, this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(Smith et al., 2015; Yoshida &amp; Smith, 2008)</w:t>
      </w:r>
      <w:r>
        <w:t xml:space="preserve">, they may fail when faces or hands appear in children’s peripheral vision but are still part of a joint interaction.</w:t>
      </w:r>
    </w:p>
    <w:p>
      <w:pPr>
        <w:pStyle w:val="Textkrper"/>
      </w:pPr>
      <w:r>
        <w:t xml:space="preserve">With hundreds of hours of footage (&gt;42M frames), however,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Fausey et al. (2016a)</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r>
        <w:t xml:space="preserve"> </w:t>
      </w: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 that operates well on scenes including multiple people, even if they are partially-occluded (see Figure 1).</w:t>
      </w:r>
      <w:r>
        <w:t xml:space="preserve"> </w:t>
      </w:r>
      <w:r>
        <w:t xml:space="preserve">In prior work examining egocentric videos, OpenPose performed comparably to other modern face detection models</w:t>
      </w:r>
      <w:r>
        <w:t xml:space="preserve"> </w:t>
      </w:r>
      <w:r>
        <w:t xml:space="preserve">(Sanchez et al., 2018)</w:t>
      </w:r>
      <w:r>
        <w:t xml:space="preserve">.</w:t>
      </w:r>
    </w:p>
    <w:p>
      <w:pPr>
        <w:pStyle w:val="Textkrper"/>
      </w:pPr>
      <w:r>
        <w:t xml:space="preserve">In this paper, we first describe the dataset and validate the use of this model by comparing face and hand detections to a human-annotated set of 24,000 frames.</w:t>
      </w:r>
      <w:r>
        <w:t xml:space="preserve"> </w:t>
      </w:r>
      <w:r>
        <w:t xml:space="preserve">Next, we report how the proportion of faces and hands changes with age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w:t>
      </w:r>
    </w:p>
    <w:p>
      <w:pPr>
        <w:pStyle w:val="berschrift1"/>
      </w:pPr>
      <w:bookmarkStart w:id="21" w:name="method"/>
      <w:r>
        <w:t xml:space="preserve">Method</w:t>
      </w:r>
      <w:bookmarkEnd w:id="21"/>
    </w:p>
    <w:p>
      <w:pPr>
        <w:pStyle w:val="berschrift2"/>
      </w:pPr>
      <w:bookmarkStart w:id="22" w:name="dataset"/>
      <w:r>
        <w:t xml:space="preserve">Dataset</w:t>
      </w:r>
      <w:bookmarkEnd w:id="22"/>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unotenzeichen"/>
        </w:rPr>
        <w:footnoteReference w:id="23"/>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1" name="Picture"/>
            <a:graphic>
              <a:graphicData uri="http://schemas.openxmlformats.org/drawingml/2006/picture">
                <pic:pic>
                  <pic:nvPicPr>
                    <pic:cNvPr descr="figs/examples-1.png" id="0" name="Picture"/>
                    <pic:cNvPicPr>
                      <a:picLocks noChangeArrowheads="1" noChangeAspect="1"/>
                    </pic:cNvPicPr>
                  </pic:nvPicPr>
                  <pic:blipFill>
                    <a:blip r:embed="rId25"/>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w:t>
      </w:r>
      <w:r>
        <w:t xml:space="preserve">.  Example frames taken from the dataset, illustrating variability in the infant perspective across different locations. OpenPose detections are shown overlaid on these images (green dots = face, red dots = hands, orange dots = pose).</w:t>
      </w:r>
    </w:p>
    <w:p>
      <w:pPr>
        <w:pStyle w:val="berschrift2"/>
      </w:pPr>
      <w:bookmarkStart w:id="26" w:name="detection-method"/>
      <w:r>
        <w:t xml:space="preserve">Detection Method</w:t>
      </w:r>
      <w:bookmarkEnd w:id="26"/>
    </w:p>
    <w:p>
      <w:pPr>
        <w:pStyle w:val="FirstParagraph"/>
      </w:pPr>
      <w:r>
        <w:t xml:space="preserve">To annotate the millions of frames in SAYCam automatically, we used a pose detector, OpenPose</w:t>
      </w:r>
      <w:r>
        <w:rPr>
          <w:rStyle w:val="Funotenzeichen"/>
        </w:rPr>
        <w:footnoteReference w:id="27"/>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p>
      <w:pPr>
        <w:pStyle w:val="berschrift2"/>
      </w:pPr>
      <w:bookmarkStart w:id="29" w:name="detection-validation"/>
      <w:r>
        <w:t xml:space="preserve">Detection Validation</w:t>
      </w:r>
      <w:bookmarkEnd w:id="29"/>
    </w:p>
    <w:p>
      <w:pPr>
        <w:pStyle w:val="FirstParagraph"/>
      </w:pPr>
      <w:r>
        <w:t xml:space="preserve">To test the validity of OpenPose’s hand and face detections, we compared the accuracy of these detections relative to human annotations of 24,000 frames selected uniformly at random from videos of two children (S and A). Frames were jointly annotated for the presence of faces and hands by one author. A second set of coders recruited via AMT (Amazon Mechanical Turk) additionally annotated 3150 frames; agreement with the primary coder was &gt;95%. Upon manually inspecting these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As has been observed in other studies on automated annotation of headcam data</w:t>
      </w:r>
      <w:r>
        <w:t xml:space="preserve"> </w:t>
      </w:r>
      <w:r>
        <w:t xml:space="preserve">(e.g. Frank, Simmons, Yurovsky, &amp; Pusiol, 2013; Bambach, Lee, Crandall, &amp; Yu, 2015; Long, Sanchez, Agrawal, Kraus, &amp; Frank, in press;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in press)</w:t>
      </w:r>
      <w:r>
        <w:t xml:space="preserve">.</w:t>
      </w:r>
    </w:p>
    <w:p>
      <w:pPr>
        <w:pStyle w:val="Textkrper"/>
      </w:pPr>
      <w:r>
        <w:t xml:space="preserve">To evaluate OpenPose’s performance, we compared its detections to the manually-annotated gold set 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 We also found that restricting our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w:t>
      </w:r>
    </w:p>
    <w:p>
      <w:pPr>
        <w:pStyle w:val="Textkrper"/>
      </w:pPr>
      <w:r>
        <w:t xml:space="preserve">We suspected that this was in part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w:t>
      </w:r>
      <w:r>
        <w:t xml:space="preserve"> </w:t>
      </w:r>
      <w:r>
        <w:t xml:space="preserve">.</w:t>
      </w:r>
    </w:p>
    <w:p>
      <w:pPr>
        <w:pStyle w:val="Textkrper"/>
      </w:pPr>
      <w:r>
        <w:t xml:space="preserve">Finally, we examined whether the precision, recall, and F-score for hands and faces varied with age or child, and did not find substantial variation. Thus, while OpenPose was trained on photographs from the adult perspective, this model still generalized relatively well to the egocentric infant viewpoint with no fine-tuning or post-processing of the detections. As these detections were imperfect compared to human annotators, fine-tuning these models to better optimize for the infant viewpoint remains an open avenue for future work. Standard computer vision models are rarely trained on the egocentric viewpoint, and we suspect that training these models on more naturalistic data may lead to more robust, generalizable detectors.</w:t>
      </w:r>
    </w:p>
    <w:p>
      <w:pPr>
        <w:pStyle w:val="berschrift1"/>
      </w:pPr>
      <w:bookmarkStart w:id="30" w:name="results-and-discussion"/>
      <w:r>
        <w:t xml:space="preserve">Results and Discussion</w:t>
      </w:r>
      <w:bookmarkEnd w:id="30"/>
    </w:p>
    <w:p>
      <w:pPr>
        <w:pStyle w:val="berschrift2"/>
      </w:pPr>
      <w:bookmarkStart w:id="31" w:name="access-to-social-information-across-age"/>
      <w:r>
        <w:t xml:space="preserve">Access to social information across age</w:t>
      </w:r>
      <w:bookmarkEnd w:id="31"/>
    </w:p>
    <w:p>
      <w:pPr>
        <w:pStyle w:val="CaptionedFigure"/>
      </w:pPr>
      <w:r>
        <w:drawing>
          <wp:inline>
            <wp:extent cx="5969000" cy="5116285"/>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1" name="Picture"/>
            <a:graphic>
              <a:graphicData uri="http://schemas.openxmlformats.org/drawingml/2006/picture">
                <pic:pic>
                  <pic:nvPicPr>
                    <pic:cNvPr descr="figs/faceHandDetailed-1.png" id="0" name="Picture"/>
                    <pic:cNvPicPr>
                      <a:picLocks noChangeArrowheads="1" noChangeAspect="1"/>
                    </pic:cNvPicPr>
                  </pic:nvPicPr>
                  <pic:blipFill>
                    <a:blip r:embed="rId32"/>
                    <a:stretch>
                      <a:fillRect/>
                    </a:stretch>
                  </pic:blipFill>
                  <pic:spPr bwMode="auto">
                    <a:xfrm>
                      <a:off x="0" y="0"/>
                      <a:ext cx="5969000" cy="5116285"/>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w:t>
      </w:r>
      <w:r>
        <w:t xml:space="preserve">.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(Fausey et al., 2016a)</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33"/>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(Fausey et al., 2016a)</w:t>
      </w:r>
      <w:r>
        <w:t xml:space="preserve">. We found this observation to be true across all ages, in all three children, and regardless of whether we analyzed human annotations (on the 24K random subset, see dotted lines in Appendix Figure</w:t>
      </w:r>
      <w:r>
        <w:t xml:space="preserve"> </w:t>
      </w:r>
      <w:r>
        <w:t xml:space="preserve">)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Fausey et al. (2016a)</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Figure</w:t>
      </w:r>
      <w:r>
        <w:t xml:space="preserve"> </w:t>
      </w:r>
      <w:r>
        <w:t xml:space="preserve">),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w:t>
      </w:r>
      <w:r>
        <w:t xml:space="preserve"> </w:t>
      </w:r>
      <w:r>
        <w:t xml:space="preserve">),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w:t>
      </w:r>
      <w:r>
        <w:t xml:space="preserve"> </w:t>
      </w:r>
      <w:r>
        <w:t xml:space="preserve">).</w:t>
      </w:r>
    </w:p>
    <w:p>
      <w:pPr>
        <w:pStyle w:val="Textkrper"/>
      </w:pPr>
      <w:r>
        <w:t xml:space="preserve">As we found that children’s hands tended to occur in the lower visual field (see Figure Appendix</w:t>
      </w:r>
      <w:r>
        <w:t xml:space="preserve"> </w:t>
      </w:r>
      <w:r>
        <w:t xml:space="preserve">), we thus re-analyzed the entire dataset while restricting our analysis to the center field of view, decreasing the proportion of hand detections from 24% to 16%, and face detections from 20% to 9.90%.</w:t>
      </w:r>
      <w:r>
        <w:t xml:space="preserve"> </w:t>
      </w:r>
      <w:r>
        <w:t xml:space="preserve">This cropping likely removed both the majority of detections of children’s own hands but also some detections of adult hands (see Figure</w:t>
      </w:r>
      <w:r>
        <w:t xml:space="preserve"> </w:t>
      </w:r>
      <w:r>
        <w:t xml:space="preserve">), especially as OpenPose was biased to miss children’s hands when they were in view.</w:t>
      </w:r>
      <w:r>
        <w:t xml:space="preserve"> </w:t>
      </w:r>
      <w:r>
        <w:t xml:space="preserve">Nonetheless, within this modified field of view, we still observed more hand detections than face detections (see dashed lines in Figure</w:t>
      </w:r>
      <w:r>
        <w:t xml:space="preserve"> </w:t>
      </w:r>
      <w:r>
        <w:t xml:space="preserve">B).</w:t>
      </w:r>
      <w:r>
        <w:t xml:space="preserve"> </w:t>
      </w:r>
      <w:r>
        <w:t xml:space="preserve">We also still found a higher proportion of hands in view relative to faces when excluding any frames containing child hand’s from the human annotated gold sample (see Appendix Figure</w:t>
      </w:r>
      <w:r>
        <w:t xml:space="preserve"> </w:t>
      </w:r>
      <w:r>
        <w:t xml:space="preserve">).</w:t>
      </w:r>
    </w:p>
    <w:p>
      <w:pPr>
        <w:pStyle w:val="Textkrper"/>
      </w:pPr>
      <w:r>
        <w:t xml:space="preserve">Finally, we analyzed how these two sources of social information co-occurred.</w:t>
      </w:r>
      <w:r>
        <w:t xml:space="preserve"> </w:t>
      </w:r>
      <w:r>
        <w:t xml:space="preserve">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Compact"/>
      </w:pPr>
      <w:r>
        <w:t xml:space="preserve">Table 1:</w:t>
      </w:r>
    </w:p>
    <w:p>
      <w:pPr>
        <w:pStyle w:val="Compact"/>
        <w:pStyle w:val="TableCaption"/>
      </w:pPr>
      <w:r>
        <w:rPr>
          <w:i/>
        </w:rPr>
        <w:t xml:space="preserve">Coefficients from a mixed-effects regression predicting the proportion of faces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0.098</w:t>
            </w:r>
          </w:p>
        </w:tc>
        <w:tc>
          <w:p>
            <w:pPr>
              <w:pStyle w:val="Compact"/>
              <w:jc w:val="left"/>
            </w:pPr>
            <w:r>
              <w:t xml:space="preserve">0.011</w:t>
            </w:r>
          </w:p>
        </w:tc>
        <w:tc>
          <w:p>
            <w:pPr>
              <w:pStyle w:val="Compact"/>
              <w:jc w:val="left"/>
            </w:pPr>
            <w:r>
              <w:t xml:space="preserve">1.953</w:t>
            </w:r>
          </w:p>
        </w:tc>
        <w:tc>
          <w:p>
            <w:pPr>
              <w:pStyle w:val="Compact"/>
              <w:jc w:val="left"/>
            </w:pPr>
            <w:r>
              <w:t xml:space="preserve">8.850</w:t>
            </w:r>
          </w:p>
        </w:tc>
        <w:tc>
          <w:p>
            <w:pPr>
              <w:pStyle w:val="Compact"/>
              <w:jc w:val="left"/>
            </w:pPr>
            <w:r>
              <w:t xml:space="preserve">0.013</w:t>
            </w:r>
          </w:p>
        </w:tc>
      </w:tr>
      <w:tr>
        <w:tc>
          <w:p>
            <w:pPr>
              <w:pStyle w:val="Compact"/>
              <w:jc w:val="left"/>
            </w:pPr>
            <w:r>
              <w:t xml:space="preserve">Age</w:t>
            </w:r>
          </w:p>
        </w:tc>
        <w:tc>
          <w:p>
            <w:pPr>
              <w:pStyle w:val="Compact"/>
              <w:jc w:val="left"/>
            </w:pPr>
            <w:r>
              <w:t xml:space="preserve">-0.195</w:t>
            </w:r>
          </w:p>
        </w:tc>
        <w:tc>
          <w:p>
            <w:pPr>
              <w:pStyle w:val="Compact"/>
              <w:jc w:val="left"/>
            </w:pPr>
            <w:r>
              <w:t xml:space="preserve">0.060</w:t>
            </w:r>
          </w:p>
        </w:tc>
        <w:tc>
          <w:p>
            <w:pPr>
              <w:pStyle w:val="Compact"/>
              <w:jc w:val="left"/>
            </w:pPr>
            <w:r>
              <w:t xml:space="preserve">429.926</w:t>
            </w:r>
          </w:p>
        </w:tc>
        <w:tc>
          <w:p>
            <w:pPr>
              <w:pStyle w:val="Compact"/>
              <w:jc w:val="left"/>
            </w:pPr>
            <w:r>
              <w:t xml:space="preserve">-3.257</w:t>
            </w:r>
          </w:p>
        </w:tc>
        <w:tc>
          <w:p>
            <w:pPr>
              <w:pStyle w:val="Compact"/>
              <w:jc w:val="left"/>
            </w:pPr>
            <w:r>
              <w:t xml:space="preserve">0.001</w:t>
            </w:r>
          </w:p>
        </w:tc>
      </w:tr>
      <w:tr>
        <w:tc>
          <w:p>
            <w:pPr>
              <w:pStyle w:val="Compact"/>
              <w:jc w:val="left"/>
            </w:pPr>
            <w:r>
              <w:t xml:space="preserve">Age**2</w:t>
            </w:r>
          </w:p>
        </w:tc>
        <w:tc>
          <w:p>
            <w:pPr>
              <w:pStyle w:val="Compact"/>
              <w:jc w:val="left"/>
            </w:pPr>
            <w:r>
              <w:t xml:space="preserve">-0.160</w:t>
            </w:r>
          </w:p>
        </w:tc>
        <w:tc>
          <w:p>
            <w:pPr>
              <w:pStyle w:val="Compact"/>
              <w:jc w:val="left"/>
            </w:pPr>
            <w:r>
              <w:t xml:space="preserve">0.059</w:t>
            </w:r>
          </w:p>
        </w:tc>
        <w:tc>
          <w:p>
            <w:pPr>
              <w:pStyle w:val="Compact"/>
              <w:jc w:val="left"/>
            </w:pPr>
            <w:r>
              <w:t xml:space="preserve">429.032</w:t>
            </w:r>
          </w:p>
        </w:tc>
        <w:tc>
          <w:p>
            <w:pPr>
              <w:pStyle w:val="Compact"/>
              <w:jc w:val="left"/>
            </w:pPr>
            <w:r>
              <w:t xml:space="preserve">-2.708</w:t>
            </w:r>
          </w:p>
        </w:tc>
        <w:tc>
          <w:p>
            <w:pPr>
              <w:pStyle w:val="Compact"/>
              <w:jc w:val="left"/>
            </w:pPr>
            <w:r>
              <w:t xml:space="preserve">0.007</w:t>
            </w:r>
          </w:p>
        </w:tc>
      </w:tr>
    </w:tbl>
    <w:p>
      <w:pPr>
        <w:pStyle w:val="Compact"/>
      </w:pPr>
      <w:r>
        <w:t xml:space="preserve">Table 2:</w:t>
      </w:r>
    </w:p>
    <w:p>
      <w:pPr>
        <w:pStyle w:val="Compact"/>
        <w:pStyle w:val="TableCaption"/>
      </w:pPr>
      <w:r>
        <w:rPr>
          <w:i/>
        </w:rPr>
        <w:t xml:space="preserve">Coefficients from a mixed-effects regression predicting the proportion of hands seen by infants in the center FOV.</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Estimate</w:t>
            </w:r>
          </w:p>
        </w:tc>
        <w:tc>
          <w:tcPr>
            <w:tcBorders>
              <w:bottom w:val="single"/>
            </w:tcBorders>
            <w:vAlign w:val="bottom"/>
          </w:tcPr>
          <w:p>
            <w:pPr>
              <w:pStyle w:val="Compact"/>
              <w:jc w:val="left"/>
            </w:pPr>
            <w:r>
              <w:t xml:space="preserve">Std. Error</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Pr(&gt;|t|)</w:t>
            </w:r>
          </w:p>
        </w:tc>
      </w:tr>
      <w:tr>
        <w:tc>
          <w:p>
            <w:pPr>
              <w:pStyle w:val="Compact"/>
              <w:jc w:val="left"/>
            </w:pPr>
            <w:r>
              <w:t xml:space="preserve">(Intercept)</w:t>
            </w:r>
          </w:p>
        </w:tc>
        <w:tc>
          <w:p>
            <w:pPr>
              <w:pStyle w:val="Compact"/>
              <w:jc w:val="left"/>
            </w:pPr>
            <w:r>
              <w:t xml:space="preserve">0.161</w:t>
            </w:r>
          </w:p>
        </w:tc>
        <w:tc>
          <w:p>
            <w:pPr>
              <w:pStyle w:val="Compact"/>
              <w:jc w:val="left"/>
            </w:pPr>
            <w:r>
              <w:t xml:space="preserve">0.007</w:t>
            </w:r>
          </w:p>
        </w:tc>
        <w:tc>
          <w:p>
            <w:pPr>
              <w:pStyle w:val="Compact"/>
              <w:jc w:val="left"/>
            </w:pPr>
            <w:r>
              <w:t xml:space="preserve">1.828</w:t>
            </w:r>
          </w:p>
        </w:tc>
        <w:tc>
          <w:p>
            <w:pPr>
              <w:pStyle w:val="Compact"/>
              <w:jc w:val="left"/>
            </w:pPr>
            <w:r>
              <w:t xml:space="preserve">21.906</w:t>
            </w:r>
          </w:p>
        </w:tc>
        <w:tc>
          <w:p>
            <w:pPr>
              <w:pStyle w:val="Compact"/>
              <w:jc w:val="left"/>
            </w:pPr>
            <w:r>
              <w:t xml:space="preserve">0.003</w:t>
            </w:r>
          </w:p>
        </w:tc>
      </w:tr>
      <w:tr>
        <w:tc>
          <w:p>
            <w:pPr>
              <w:pStyle w:val="Compact"/>
              <w:jc w:val="left"/>
            </w:pPr>
            <w:r>
              <w:t xml:space="preserve">Age</w:t>
            </w:r>
          </w:p>
        </w:tc>
        <w:tc>
          <w:p>
            <w:pPr>
              <w:pStyle w:val="Compact"/>
              <w:jc w:val="left"/>
            </w:pPr>
            <w:r>
              <w:t xml:space="preserve">-0.145</w:t>
            </w:r>
          </w:p>
        </w:tc>
        <w:tc>
          <w:p>
            <w:pPr>
              <w:pStyle w:val="Compact"/>
              <w:jc w:val="left"/>
            </w:pPr>
            <w:r>
              <w:t xml:space="preserve">0.078</w:t>
            </w:r>
          </w:p>
        </w:tc>
        <w:tc>
          <w:p>
            <w:pPr>
              <w:pStyle w:val="Compact"/>
              <w:jc w:val="left"/>
            </w:pPr>
            <w:r>
              <w:t xml:space="preserve">422.334</w:t>
            </w:r>
          </w:p>
        </w:tc>
        <w:tc>
          <w:p>
            <w:pPr>
              <w:pStyle w:val="Compact"/>
              <w:jc w:val="left"/>
            </w:pPr>
            <w:r>
              <w:t xml:space="preserve">-1.855</w:t>
            </w:r>
          </w:p>
        </w:tc>
        <w:tc>
          <w:p>
            <w:pPr>
              <w:pStyle w:val="Compact"/>
              <w:jc w:val="left"/>
            </w:pPr>
            <w:r>
              <w:t xml:space="preserve">0.064</w:t>
            </w:r>
          </w:p>
        </w:tc>
      </w:tr>
      <w:tr>
        <w:tc>
          <w:p>
            <w:pPr>
              <w:pStyle w:val="Compact"/>
              <w:jc w:val="left"/>
            </w:pPr>
            <w:r>
              <w:t xml:space="preserve">Age**2</w:t>
            </w:r>
          </w:p>
        </w:tc>
        <w:tc>
          <w:p>
            <w:pPr>
              <w:pStyle w:val="Compact"/>
              <w:jc w:val="left"/>
            </w:pPr>
            <w:r>
              <w:t xml:space="preserve">-0.319</w:t>
            </w:r>
          </w:p>
        </w:tc>
        <w:tc>
          <w:p>
            <w:pPr>
              <w:pStyle w:val="Compact"/>
              <w:jc w:val="left"/>
            </w:pPr>
            <w:r>
              <w:t xml:space="preserve">0.077</w:t>
            </w:r>
          </w:p>
        </w:tc>
        <w:tc>
          <w:p>
            <w:pPr>
              <w:pStyle w:val="Compact"/>
              <w:jc w:val="left"/>
            </w:pPr>
            <w:r>
              <w:t xml:space="preserve">429.968</w:t>
            </w:r>
          </w:p>
        </w:tc>
        <w:tc>
          <w:p>
            <w:pPr>
              <w:pStyle w:val="Compact"/>
              <w:jc w:val="left"/>
            </w:pPr>
            <w:r>
              <w:t xml:space="preserve">-4.134</w:t>
            </w:r>
          </w:p>
        </w:tc>
        <w:tc>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1" name="Picture"/>
            <a:graphic>
              <a:graphicData uri="http://schemas.openxmlformats.org/drawingml/2006/picture">
                <pic:pic>
                  <pic:nvPicPr>
                    <pic:cNvPr descr="figs/faceHandContingency-1.png" id="0" name="Picture"/>
                    <pic:cNvPicPr>
                      <a:picLocks noChangeArrowheads="1" noChangeAspect="1"/>
                    </pic:cNvPicPr>
                  </pic:nvPicPr>
                  <pic:blipFill>
                    <a:blip r:embed="rId34"/>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w:t>
      </w:r>
      <w:r>
        <w:t xml:space="preserve">.  Proportion of joint face and hands detection within frames where hands (left) or faces (right) were detected.</w:t>
      </w:r>
    </w:p>
    <w:p>
      <w:pPr>
        <w:pStyle w:val="berschrift2"/>
      </w:pPr>
      <w:bookmarkStart w:id="35" w:name="X3327e9bde5e5e779b5575a04c94e51de948ff30"/>
      <w:r>
        <w:t xml:space="preserve">Variability in social information across learning contexts</w:t>
      </w:r>
      <w:bookmarkEnd w:id="35"/>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1" name="Picture"/>
            <a:graphic>
              <a:graphicData uri="http://schemas.openxmlformats.org/drawingml/2006/picture">
                <pic:pic>
                  <pic:nvPicPr>
                    <pic:cNvPr descr="figs/DetByLocation-1.png" id="0" name="Picture"/>
                    <pic:cNvPicPr>
                      <a:picLocks noChangeArrowheads="1" noChangeAspect="1"/>
                    </pic:cNvPicPr>
                  </pic:nvPicPr>
                  <pic:blipFill>
                    <a:blip r:embed="rId36"/>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w:t>
      </w:r>
      <w:r>
        <w:t xml:space="preserve">.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annotations of activity.</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p>
      <w:pPr>
        <w:pStyle w:val="berschrift2"/>
      </w:pPr>
      <w:bookmarkStart w:id="37" w:name="X6eef6102c3e1e6c58859ed1e9e0ca4c337168e5"/>
      <w:r>
        <w:t xml:space="preserve">Fine-grained changes in the social information in view</w:t>
      </w:r>
      <w:bookmarkEnd w:id="37"/>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1" name="Picture"/>
            <a:graphic>
              <a:graphicData uri="http://schemas.openxmlformats.org/drawingml/2006/picture">
                <pic:pic>
                  <pic:nvPicPr>
                    <pic:cNvPr descr="figs/avgSizes-1.png" id="0" name="Picture"/>
                    <pic:cNvPicPr>
                      <a:picLocks noChangeArrowheads="1" noChangeAspect="1"/>
                    </pic:cNvPicPr>
                  </pic:nvPicPr>
                  <pic:blipFill>
                    <a:blip r:embed="rId38"/>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w:t>
      </w:r>
      <w:r>
        <w:t xml:space="preserve">.  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1" name="Picture"/>
            <a:graphic>
              <a:graphicData uri="http://schemas.openxmlformats.org/drawingml/2006/picture">
                <pic:pic>
                  <pic:nvPicPr>
                    <pic:cNvPr descr="figs/faceDetailed-1.png" id="0" name="Picture"/>
                    <pic:cNvPicPr>
                      <a:picLocks noChangeArrowheads="1" noChangeAspect="1"/>
                    </pic:cNvPicPr>
                  </pic:nvPicPr>
                  <pic:blipFill>
                    <a:blip r:embed="rId39"/>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third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w:t>
      </w:r>
      <w:r>
        <w:t xml:space="preserve"> </w:t>
      </w: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w:t>
      </w:r>
      <w:r>
        <w:t xml:space="preserve"> </w:t>
      </w:r>
      <w:r>
        <w:t xml:space="preserve"> </w:t>
      </w:r>
      <w:r>
        <w:t xml:space="preserve">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w:t>
      </w:r>
    </w:p>
    <w:p>
      <w:pPr>
        <w:pStyle w:val="berschrift1"/>
      </w:pPr>
      <w:bookmarkStart w:id="40" w:name="general-discussion"/>
      <w:r>
        <w:t xml:space="preserve">General Discussion</w:t>
      </w:r>
      <w:bookmarkEnd w:id="40"/>
    </w:p>
    <w:p>
      <w:pPr>
        <w:pStyle w:val="FirstParagraph"/>
      </w:pPr>
      <w:r>
        <w:t xml:space="preserve">Here, we analyzed the social information in view in a dense, longitudinal dataset, applying a modern computer-vision model to quantify the hands and faces seen from each of three children’s egocentric perspective from 6 to 32 months of age. First, we found a moderate decrease across age in the proportion of faces in view in the videos, in keeping with previous work</w:t>
      </w:r>
      <w:r>
        <w:t xml:space="preserve"> </w:t>
      </w:r>
      <w:r>
        <w:t xml:space="preserve">(Fausey et al., 2016a;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Fausey et al., 2016a; Jayaraman et al., 2015; Sugden et al., 2014)</w:t>
      </w:r>
      <w:r>
        <w:t xml:space="preserve"> </w:t>
      </w:r>
      <w:r>
        <w:t xml:space="preserve">who see both more frequent and more persistent faces</w:t>
      </w:r>
      <w:r>
        <w:t xml:space="preserve"> </w:t>
      </w:r>
      <w:r>
        <w:t xml:space="preserve">(Jayaraman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We also found an unexpectedly high proportion of hands in infants’ view, even when restricting the field-of-view to the center field-of-view to make the viewpoints comparable to those of headcams used in prior work.</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 Indeed, using the same pose detector on videos from in-lab play sessions,</w:t>
      </w:r>
      <w:r>
        <w:t xml:space="preserve"> </w:t>
      </w:r>
      <w:r>
        <w:t xml:space="preserve">Long et al. (in press)</w:t>
      </w:r>
      <w:r>
        <w:t xml:space="preserve"> </w:t>
      </w:r>
      <w:r>
        <w:t xml:space="preserve">found the opposite trend: slightly fewer hand detections than face detections from 8-16 months of age. Work that directly examines the variability in the social information in view across more vs. less structured activity contexts could further test this idea.</w:t>
      </w:r>
    </w:p>
    <w:p>
      <w:pPr>
        <w:pStyle w:val="Textkrper"/>
      </w:pPr>
      <w:r>
        <w:t xml:space="preserve">A coarse analysis based on the location the videos were filmed in further highlights the variability of the social information in view during different activities, showing differences across locations and between individual children. Within a given, well-defined context – e.g., mealtime in kitchens – S saw more faces than A, and S saw more faces in the kitchen than in other locations. This variability likely stems from the fact that there are at least three ways to feed a young child: 1) sitting in front of the child, facing them as they sit in a high chair; 2) sitting behind the child, holding them as they face outward, and 3) sitting side by side. Each of these positions offer the child differing degrees of visual access to faces and hands. 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 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(Jayaraman et al., 2015)</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(Fausey et al., 2016b;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Heine, &amp; Norenzayan,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p>
    <w:p>
      <w:pPr>
        <w:pStyle w:val="Textkrper"/>
      </w:pPr>
      <w:r>
        <w:t xml:space="preserve">In future work,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pPr>
        <w:pStyle w:val="berschrift1"/>
      </w:pPr>
      <w:bookmarkStart w:id="41" w:name="acknowledgements"/>
      <w:r>
        <w:t xml:space="preserve">Acknowledgements</w:t>
      </w:r>
      <w:bookmarkEnd w:id="41"/>
    </w:p>
    <w:p>
      <w:pPr>
        <w:pStyle w:val="FirstParagraph"/>
      </w:pPr>
      <w:r>
        <w:t xml:space="preserve">Blinded.</w:t>
      </w:r>
    </w:p>
    <w:p>
      <w:r>
        <w:br w:type="page"/>
      </w:r>
    </w:p>
    <w:p>
      <w:pPr>
        <w:pStyle w:val="berschrift1"/>
      </w:pPr>
      <w:bookmarkStart w:id="42" w:name="references"/>
      <w:r>
        <w:t xml:space="preserve">References</w:t>
      </w:r>
      <w:bookmarkEnd w:id="42"/>
    </w:p>
    <w:bookmarkStart w:id="83" w:name="refs"/>
    <w:bookmarkStart w:id="43" w:name="ref-bambach2015lending"/>
    <w:p>
      <w:pPr>
        <w:pStyle w:val="Literaturverzeichnis"/>
      </w:pPr>
      <w:r>
        <w:t xml:space="preserve">Bambach, S., Lee, S., Crandall, D. J., &amp; Yu, C. (2015). Lending a hand: Detecting hands and recognizing activities in complex egocentric interactions. In</w:t>
      </w:r>
      <w:r>
        <w:t xml:space="preserve"> </w:t>
      </w:r>
      <w:r>
        <w:rPr>
          <w:i/>
        </w:rPr>
        <w:t xml:space="preserve">Proc. Of the IEEE international conference on computer vision</w:t>
      </w:r>
      <w:r>
        <w:t xml:space="preserve"> </w:t>
      </w:r>
      <w:r>
        <w:t xml:space="preserve">(pp. 1949–1957).</w:t>
      </w:r>
    </w:p>
    <w:bookmarkEnd w:id="43"/>
    <w:bookmarkStart w:id="44" w:name="ref-bruner1985role"/>
    <w:p>
      <w:pPr>
        <w:pStyle w:val="Literaturverzeichnis"/>
      </w:pPr>
      <w:r>
        <w:t xml:space="preserve">Bruner, J. (1985). The role of interaction formats in language acquisition. In</w:t>
      </w:r>
      <w:r>
        <w:t xml:space="preserve"> </w:t>
      </w:r>
      <w:r>
        <w:rPr>
          <w:i/>
        </w:rPr>
        <w:t xml:space="preserve">Language and social situations</w:t>
      </w:r>
      <w:r>
        <w:t xml:space="preserve"> </w:t>
      </w:r>
      <w:r>
        <w:t xml:space="preserve">(pp. 31–46). Springer.</w:t>
      </w:r>
    </w:p>
    <w:bookmarkEnd w:id="44"/>
    <w:bookmarkStart w:id="45" w:name="ref-Cao2018openpose"/>
    <w:p>
      <w:pPr>
        <w:pStyle w:val="Literaturverzeichnis"/>
      </w:pPr>
      <w:r>
        <w:t xml:space="preserve">Cao, Z., Hidalgo, G., Simon, T., Wei, S.-E., &amp; Sheikh, Y. (2018). OpenPose: Realtime multi-person 2D pose estimation using Part Affinity Fields. In</w:t>
      </w:r>
      <w:r>
        <w:t xml:space="preserve"> </w:t>
      </w:r>
      <w:r>
        <w:rPr>
          <w:i/>
        </w:rPr>
        <w:t xml:space="preserve">ArXiv preprint arXiv:1812.08008</w:t>
      </w:r>
      <w:r>
        <w:t xml:space="preserve">.</w:t>
      </w:r>
    </w:p>
    <w:bookmarkEnd w:id="45"/>
    <w:bookmarkStart w:id="46" w:name="ref-clerkin2017"/>
    <w:p>
      <w:pPr>
        <w:pStyle w:val="Literaturverzeichnis"/>
      </w:pPr>
      <w:r>
        <w:t xml:space="preserve">Clerkin, E. M., Hart, E., Rehg, J. M., Yu, C., &amp; Smith, L. B. (2017). Real-world visual statistics and infants’ first-learned object names.</w:t>
      </w:r>
      <w:r>
        <w:t xml:space="preserve"> </w:t>
      </w:r>
      <w:r>
        <w:rPr>
          <w:i/>
        </w:rPr>
        <w:t xml:space="preserve">Phil. Trans. R. Soc. B</w:t>
      </w:r>
      <w:r>
        <w:t xml:space="preserve">,</w:t>
      </w:r>
      <w:r>
        <w:t xml:space="preserve"> </w:t>
      </w:r>
      <w:r>
        <w:rPr>
          <w:i/>
        </w:rPr>
        <w:t xml:space="preserve">372</w:t>
      </w:r>
      <w:r>
        <w:t xml:space="preserve">(1711), 20160055.</w:t>
      </w:r>
    </w:p>
    <w:bookmarkEnd w:id="46"/>
    <w:bookmarkStart w:id="47" w:name="ref-Farroni2002"/>
    <w:p>
      <w:pPr>
        <w:pStyle w:val="Literaturverzeichnis"/>
      </w:pPr>
      <w:r>
        <w:t xml:space="preserve">Farroni, T., Csibra, G., Simion, F., &amp; Johnson, M. H. (2002). Eye contact detection in humans from birth.</w:t>
      </w:r>
      <w:r>
        <w:t xml:space="preserve"> </w:t>
      </w:r>
      <w:r>
        <w:rPr>
          <w:i/>
        </w:rPr>
        <w:t xml:space="preserve">Proceedings of the National Academy of Sciences</w:t>
      </w:r>
      <w:r>
        <w:t xml:space="preserve">,</w:t>
      </w:r>
      <w:r>
        <w:t xml:space="preserve"> </w:t>
      </w:r>
      <w:r>
        <w:rPr>
          <w:i/>
        </w:rPr>
        <w:t xml:space="preserve">99</w:t>
      </w:r>
      <w:r>
        <w:t xml:space="preserve">(14), 9602–9605.</w:t>
      </w:r>
    </w:p>
    <w:bookmarkEnd w:id="47"/>
    <w:bookmarkStart w:id="48" w:name="ref-Fausey2016"/>
    <w:p>
      <w:pPr>
        <w:pStyle w:val="Literaturverzeichnis"/>
      </w:pPr>
      <w:r>
        <w:t xml:space="preserve">Fausey, C. M., Jayaraman, S., &amp; Smith, L. B. (2016a).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48"/>
    <w:bookmarkStart w:id="49" w:name="ref-fausey2016"/>
    <w:p>
      <w:pPr>
        <w:pStyle w:val="Literaturverzeichnis"/>
      </w:pPr>
      <w:r>
        <w:t xml:space="preserve">Fausey, C. M., Jayaraman, S., &amp; Smith, L. B. (2016b). From faces to hands: Changing visual input in the first two years.</w:t>
      </w:r>
      <w:r>
        <w:t xml:space="preserve"> </w:t>
      </w:r>
      <w:r>
        <w:rPr>
          <w:i/>
        </w:rPr>
        <w:t xml:space="preserve">Cognition</w:t>
      </w:r>
      <w:r>
        <w:t xml:space="preserve">,</w:t>
      </w:r>
      <w:r>
        <w:t xml:space="preserve"> </w:t>
      </w:r>
      <w:r>
        <w:rPr>
          <w:i/>
        </w:rPr>
        <w:t xml:space="preserve">152</w:t>
      </w:r>
      <w:r>
        <w:t xml:space="preserve">, 101–107.</w:t>
      </w:r>
    </w:p>
    <w:bookmarkEnd w:id="49"/>
    <w:bookmarkStart w:id="50" w:name="ref-franchak2019changing"/>
    <w:p>
      <w:pPr>
        <w:pStyle w:val="Literaturverzeichnis"/>
      </w:pPr>
      <w:r>
        <w:t xml:space="preserve">Franchak, J. M. (2019). Changing opportunities for learning in everyday life: Infant body position over the first year.</w:t>
      </w:r>
      <w:r>
        <w:t xml:space="preserve"> </w:t>
      </w:r>
      <w:r>
        <w:rPr>
          <w:i/>
        </w:rPr>
        <w:t xml:space="preserve">Infancy</w:t>
      </w:r>
      <w:r>
        <w:t xml:space="preserve">,</w:t>
      </w:r>
      <w:r>
        <w:t xml:space="preserve"> </w:t>
      </w:r>
      <w:r>
        <w:rPr>
          <w:i/>
        </w:rPr>
        <w:t xml:space="preserve">24</w:t>
      </w:r>
      <w:r>
        <w:t xml:space="preserve">(2), 187–209.</w:t>
      </w:r>
    </w:p>
    <w:bookmarkEnd w:id="50"/>
    <w:bookmarkStart w:id="51" w:name="ref-franchak2017see"/>
    <w:p>
      <w:pPr>
        <w:pStyle w:val="Literaturverzeichnis"/>
      </w:pPr>
      <w:r>
        <w:t xml:space="preserve">Franchak, J. M., Kretch, K. S., &amp; Adolph, K. E. (2017). See and be seen: Infant–caregiver social looking during locomotor free play.</w:t>
      </w:r>
      <w:r>
        <w:t xml:space="preserve"> </w:t>
      </w:r>
      <w:r>
        <w:rPr>
          <w:i/>
        </w:rPr>
        <w:t xml:space="preserve">Developmental Science</w:t>
      </w:r>
      <w:r>
        <w:t xml:space="preserve">.</w:t>
      </w:r>
    </w:p>
    <w:bookmarkEnd w:id="51"/>
    <w:bookmarkStart w:id="52" w:name="ref-franchak2011"/>
    <w:p>
      <w:pPr>
        <w:pStyle w:val="Literaturverzeichnis"/>
      </w:pPr>
      <w:r>
        <w:t xml:space="preserve">Franchak, J. M., Kretch, K. S., Soska, K. C., &amp; Adolph, K. E. (2011). Head-mounted eye tracking: A new method to describe infant looking.</w:t>
      </w:r>
      <w:r>
        <w:t xml:space="preserve"> </w:t>
      </w:r>
      <w:r>
        <w:rPr>
          <w:i/>
        </w:rPr>
        <w:t xml:space="preserve">Child Development</w:t>
      </w:r>
      <w:r>
        <w:t xml:space="preserve">,</w:t>
      </w:r>
      <w:r>
        <w:t xml:space="preserve"> </w:t>
      </w:r>
      <w:r>
        <w:rPr>
          <w:i/>
        </w:rPr>
        <w:t xml:space="preserve">82</w:t>
      </w:r>
      <w:r>
        <w:t xml:space="preserve">(6), 1738–1750.</w:t>
      </w:r>
    </w:p>
    <w:bookmarkEnd w:id="52"/>
    <w:bookmarkStart w:id="53" w:name="ref-frank2013"/>
    <w:p>
      <w:pPr>
        <w:pStyle w:val="Literaturverzeichnis"/>
      </w:pPr>
      <w:r>
        <w:t xml:space="preserve">Frank, M. C., Simmons, K., Yurovsky, D., &amp; Pusiol, G. (2013). Developmental and postural changes in children’s visual access to faces. In</w:t>
      </w:r>
      <w:r>
        <w:t xml:space="preserve"> </w:t>
      </w:r>
      <w:r>
        <w:rPr>
          <w:i/>
        </w:rPr>
        <w:t xml:space="preserve">Proceedings of the 35th annual meeting of the cognitive science society</w:t>
      </w:r>
      <w:r>
        <w:t xml:space="preserve"> </w:t>
      </w:r>
      <w:r>
        <w:t xml:space="preserve">(pp. 454–459).</w:t>
      </w:r>
    </w:p>
    <w:bookmarkEnd w:id="53"/>
    <w:bookmarkStart w:id="54" w:name="ref-gredeback2008microstructure"/>
    <w:p>
      <w:pPr>
        <w:pStyle w:val="Literaturverzeichnis"/>
      </w:pPr>
      <w:r>
        <w:t xml:space="preserve">Gredeback, G., Theuring, C., Hauf, P., &amp; Kenward, B. (2008). The microstructure of infants’ gaze as they view adult shifts in overt attention.</w:t>
      </w:r>
      <w:r>
        <w:t xml:space="preserve"> </w:t>
      </w:r>
      <w:r>
        <w:rPr>
          <w:i/>
        </w:rPr>
        <w:t xml:space="preserve">Infancy</w:t>
      </w:r>
      <w:r>
        <w:t xml:space="preserve">,</w:t>
      </w:r>
      <w:r>
        <w:t xml:space="preserve"> </w:t>
      </w:r>
      <w:r>
        <w:rPr>
          <w:i/>
        </w:rPr>
        <w:t xml:space="preserve">13</w:t>
      </w:r>
      <w:r>
        <w:t xml:space="preserve">(5), 533–543.</w:t>
      </w:r>
    </w:p>
    <w:bookmarkEnd w:id="54"/>
    <w:bookmarkStart w:id="55" w:name="ref-henrich2010most"/>
    <w:p>
      <w:pPr>
        <w:pStyle w:val="Literaturverzeichnis"/>
      </w:pPr>
      <w:r>
        <w:t xml:space="preserve">Henrich, J., Heine, S. J., &amp; Norenzayan, A. (2010). Most people are not weird.</w:t>
      </w:r>
      <w:r>
        <w:t xml:space="preserve"> </w:t>
      </w:r>
      <w:r>
        <w:rPr>
          <w:i/>
        </w:rPr>
        <w:t xml:space="preserve">Nature</w:t>
      </w:r>
      <w:r>
        <w:t xml:space="preserve">,</w:t>
      </w:r>
      <w:r>
        <w:t xml:space="preserve"> </w:t>
      </w:r>
      <w:r>
        <w:rPr>
          <w:i/>
        </w:rPr>
        <w:t xml:space="preserve">466</w:t>
      </w:r>
      <w:r>
        <w:t xml:space="preserve">(7302), 29–29.</w:t>
      </w:r>
    </w:p>
    <w:bookmarkEnd w:id="55"/>
    <w:bookmarkStart w:id="56" w:name="ref-iverson2010"/>
    <w:p>
      <w:pPr>
        <w:pStyle w:val="Literaturverzeichnis"/>
      </w:pPr>
      <w:r>
        <w:t xml:space="preserve">Iverson, J. M. (2010). Developing language in a developing body: The relationship between motor development and language development.</w:t>
      </w:r>
      <w:r>
        <w:t xml:space="preserve"> </w:t>
      </w:r>
      <w:r>
        <w:rPr>
          <w:i/>
        </w:rPr>
        <w:t xml:space="preserve">Journal of Child Language</w:t>
      </w:r>
      <w:r>
        <w:t xml:space="preserve">,</w:t>
      </w:r>
      <w:r>
        <w:t xml:space="preserve"> </w:t>
      </w:r>
      <w:r>
        <w:rPr>
          <w:i/>
        </w:rPr>
        <w:t xml:space="preserve">37</w:t>
      </w:r>
      <w:r>
        <w:t xml:space="preserve">(2), 229–261.</w:t>
      </w:r>
    </w:p>
    <w:bookmarkEnd w:id="56"/>
    <w:bookmarkStart w:id="57" w:name="ref-james1890principles"/>
    <w:p>
      <w:pPr>
        <w:pStyle w:val="Literaturverzeichnis"/>
      </w:pPr>
      <w:r>
        <w:t xml:space="preserve">James, W. (1890).</w:t>
      </w:r>
      <w:r>
        <w:t xml:space="preserve"> </w:t>
      </w:r>
      <w:r>
        <w:rPr>
          <w:i/>
        </w:rPr>
        <w:t xml:space="preserve">The principles of psychology</w:t>
      </w:r>
      <w:r>
        <w:t xml:space="preserve"> </w:t>
      </w:r>
      <w:r>
        <w:t xml:space="preserve">(Vol. 1). Macmillan London.</w:t>
      </w:r>
    </w:p>
    <w:bookmarkEnd w:id="57"/>
    <w:bookmarkStart w:id="58" w:name="ref-jayaraman2013visual"/>
    <w:p>
      <w:pPr>
        <w:pStyle w:val="Literaturverzeichnis"/>
      </w:pPr>
      <w:r>
        <w:t xml:space="preserve">Jayaraman, S., Fausey, C. M., &amp; Smith, L. B. (2013). Visual statistics of infants’ ordered experiences.</w:t>
      </w:r>
      <w:r>
        <w:t xml:space="preserve"> </w:t>
      </w:r>
      <w:r>
        <w:rPr>
          <w:i/>
        </w:rPr>
        <w:t xml:space="preserve">Journal of Vision</w:t>
      </w:r>
      <w:r>
        <w:t xml:space="preserve">,</w:t>
      </w:r>
      <w:r>
        <w:t xml:space="preserve"> </w:t>
      </w:r>
      <w:r>
        <w:rPr>
          <w:i/>
        </w:rPr>
        <w:t xml:space="preserve">13</w:t>
      </w:r>
      <w:r>
        <w:t xml:space="preserve">(9), 735–735.</w:t>
      </w:r>
    </w:p>
    <w:bookmarkEnd w:id="58"/>
    <w:bookmarkStart w:id="60" w:name="ref-Jayaraman2015"/>
    <w:p>
      <w:pPr>
        <w:pStyle w:val="Literaturverzeichnis"/>
      </w:pPr>
      <w:r>
        <w:t xml:space="preserve">Jayaraman, S., Fausey, C. M., &amp; Smith, L. B. (2015). The faces in infant-perspective scenes change over the first year of life.</w:t>
      </w:r>
      <w:r>
        <w:t xml:space="preserve"> </w:t>
      </w:r>
      <w:r>
        <w:rPr>
          <w:i/>
        </w:rPr>
        <w:t xml:space="preserve">PLoS One</w:t>
      </w:r>
      <w:r>
        <w:t xml:space="preserve">.</w:t>
      </w:r>
      <w:r>
        <w:t xml:space="preserve"> </w:t>
      </w:r>
      <w:hyperlink r:id="rId59">
        <w:r>
          <w:rPr>
            <w:rStyle w:val="Hyperlink"/>
          </w:rPr>
          <w:t xml:space="preserve">https://doi.org/10.1371/journal.pone.0123780</w:t>
        </w:r>
      </w:hyperlink>
    </w:p>
    <w:bookmarkEnd w:id="60"/>
    <w:bookmarkStart w:id="61" w:name="ref-jayaraman2017faces"/>
    <w:p>
      <w:pPr>
        <w:pStyle w:val="Literaturverzeichnis"/>
      </w:pPr>
      <w:r>
        <w:t xml:space="preserve">Jayaraman, S., Fausey, C. M., &amp; Smith, L. B. (2017). Why are faces denser in the visual experiences of younger than older infants?</w:t>
      </w:r>
      <w:r>
        <w:t xml:space="preserve"> </w:t>
      </w:r>
      <w:r>
        <w:rPr>
          <w:i/>
        </w:rPr>
        <w:t xml:space="preserve">Developmental Psychology</w:t>
      </w:r>
      <w:r>
        <w:t xml:space="preserve">,</w:t>
      </w:r>
      <w:r>
        <w:t xml:space="preserve"> </w:t>
      </w:r>
      <w:r>
        <w:rPr>
          <w:i/>
        </w:rPr>
        <w:t xml:space="preserve">53</w:t>
      </w:r>
      <w:r>
        <w:t xml:space="preserve">(1), 38.</w:t>
      </w:r>
    </w:p>
    <w:bookmarkEnd w:id="61"/>
    <w:bookmarkStart w:id="62" w:name="ref-Jayaraman2018"/>
    <w:p>
      <w:pPr>
        <w:pStyle w:val="Literaturverzeichnis"/>
      </w:pPr>
      <w:r>
        <w:t xml:space="preserve">Jayaraman, S., &amp; Smith, L. B. (2018). Faces in early visual environments are persistent not just frequent.</w:t>
      </w:r>
      <w:r>
        <w:t xml:space="preserve"> </w:t>
      </w:r>
      <w:r>
        <w:rPr>
          <w:i/>
        </w:rPr>
        <w:t xml:space="preserve">Vision Research</w:t>
      </w:r>
      <w:r>
        <w:t xml:space="preserve">.</w:t>
      </w:r>
    </w:p>
    <w:bookmarkEnd w:id="62"/>
    <w:bookmarkStart w:id="63" w:name="ref-karasik2018ties"/>
    <w:p>
      <w:pPr>
        <w:pStyle w:val="Literaturverzeichnis"/>
      </w:pPr>
      <w:r>
        <w:t xml:space="preserve">Karasik, L. B., Tamis-LeMonda, C. S., Ossmy, O., &amp; Adolph, K. E. (2018). The ties that bind: Cradling in tajikistan.</w:t>
      </w:r>
      <w:r>
        <w:t xml:space="preserve"> </w:t>
      </w:r>
      <w:r>
        <w:rPr>
          <w:i/>
        </w:rPr>
        <w:t xml:space="preserve">PloS One</w:t>
      </w:r>
      <w:r>
        <w:t xml:space="preserve">,</w:t>
      </w:r>
      <w:r>
        <w:t xml:space="preserve"> </w:t>
      </w:r>
      <w:r>
        <w:rPr>
          <w:i/>
        </w:rPr>
        <w:t xml:space="preserve">13</w:t>
      </w:r>
      <w:r>
        <w:t xml:space="preserve">(10), e0204428.</w:t>
      </w:r>
    </w:p>
    <w:bookmarkEnd w:id="63"/>
    <w:bookmarkStart w:id="64" w:name="ref-kretch2014"/>
    <w:p>
      <w:pPr>
        <w:pStyle w:val="Literaturverzeichnis"/>
      </w:pPr>
      <w:r>
        <w:t xml:space="preserve">Kretch, K. S., Franchak, J. M., &amp; Adolph, K. E. (2014). Crawling and walking infants see the world differently.</w:t>
      </w:r>
      <w:r>
        <w:t xml:space="preserve"> </w:t>
      </w:r>
      <w:r>
        <w:rPr>
          <w:i/>
        </w:rPr>
        <w:t xml:space="preserve">Child Development</w:t>
      </w:r>
      <w:r>
        <w:t xml:space="preserve">,</w:t>
      </w:r>
      <w:r>
        <w:t xml:space="preserve"> </w:t>
      </w:r>
      <w:r>
        <w:rPr>
          <w:i/>
        </w:rPr>
        <w:t xml:space="preserve">85</w:t>
      </w:r>
      <w:r>
        <w:t xml:space="preserve">(4), 1503–1518.</w:t>
      </w:r>
    </w:p>
    <w:bookmarkEnd w:id="64"/>
    <w:bookmarkStart w:id="66" w:name="ref-long2021automated"/>
    <w:p>
      <w:pPr>
        <w:pStyle w:val="Literaturverzeichnis"/>
      </w:pPr>
      <w:r>
        <w:t xml:space="preserve">Long, B., Sanchez, A., Agrawal, K., Kraus, A. M., &amp; Frank, M. C. (in press). Automated detections reveal the social information in the changing infant view. Retrieved from</w:t>
      </w:r>
      <w:r>
        <w:t xml:space="preserve"> </w:t>
      </w:r>
      <w:hyperlink r:id="rId65">
        <w:r>
          <w:rPr>
            <w:rStyle w:val="Hyperlink"/>
          </w:rPr>
          <w:t xml:space="preserve">https://psyarxiv.com/cmj65</w:t>
        </w:r>
      </w:hyperlink>
    </w:p>
    <w:bookmarkEnd w:id="66"/>
    <w:bookmarkStart w:id="67" w:name="ref-luo2020head"/>
    <w:p>
      <w:pPr>
        <w:pStyle w:val="Literaturverzeichnis"/>
      </w:pPr>
      <w:r>
        <w:t xml:space="preserve">Luo, C., &amp; Franchak, J. M. (2020). Head and body structure infants’ visual experiences during mobile, naturalistic play.</w:t>
      </w:r>
      <w:r>
        <w:t xml:space="preserve"> </w:t>
      </w:r>
      <w:r>
        <w:rPr>
          <w:i/>
        </w:rPr>
        <w:t xml:space="preserve">Plos One</w:t>
      </w:r>
      <w:r>
        <w:t xml:space="preserve">,</w:t>
      </w:r>
      <w:r>
        <w:t xml:space="preserve"> </w:t>
      </w:r>
      <w:r>
        <w:rPr>
          <w:i/>
        </w:rPr>
        <w:t xml:space="preserve">15</w:t>
      </w:r>
      <w:r>
        <w:t xml:space="preserve">(11), e0242009.</w:t>
      </w:r>
    </w:p>
    <w:bookmarkEnd w:id="67"/>
    <w:bookmarkStart w:id="68" w:name="ref-orhan2020self"/>
    <w:p>
      <w:pPr>
        <w:pStyle w:val="Literaturverzeichnis"/>
      </w:pPr>
      <w:r>
        <w:t xml:space="preserve">Orhan, A. E., Gupta, V. V., &amp; Lake, B. M. (2020). Self-supervised learning through the eyes of a child.</w:t>
      </w:r>
      <w:r>
        <w:t xml:space="preserve"> </w:t>
      </w:r>
      <w:r>
        <w:rPr>
          <w:i/>
        </w:rPr>
        <w:t xml:space="preserve">arXiv Preprint arXiv:2007.16189</w:t>
      </w:r>
      <w:r>
        <w:t xml:space="preserve">.</w:t>
      </w:r>
    </w:p>
    <w:bookmarkEnd w:id="68"/>
    <w:bookmarkStart w:id="69" w:name="ref-roy2015predicting"/>
    <w:p>
      <w:pPr>
        <w:pStyle w:val="Literaturverzeichnis"/>
      </w:pPr>
      <w:r>
        <w:t xml:space="preserve">Roy, B. C., Frank, M. C., DeCamp, P., Miller, M., &amp; Roy, D. (2015). Predicting the birth of a spoken word.</w:t>
      </w:r>
      <w:r>
        <w:t xml:space="preserve"> </w:t>
      </w:r>
      <w:r>
        <w:rPr>
          <w:i/>
        </w:rPr>
        <w:t xml:space="preserve">Proc. Of the National Academy of Sciences</w:t>
      </w:r>
      <w:r>
        <w:t xml:space="preserve">,</w:t>
      </w:r>
      <w:r>
        <w:t xml:space="preserve"> </w:t>
      </w:r>
      <w:r>
        <w:rPr>
          <w:i/>
        </w:rPr>
        <w:t xml:space="preserve">112</w:t>
      </w:r>
      <w:r>
        <w:t xml:space="preserve">(41), 12663–12668.</w:t>
      </w:r>
    </w:p>
    <w:bookmarkEnd w:id="69"/>
    <w:bookmarkStart w:id="70" w:name="ref-sanchez2018postural"/>
    <w:p>
      <w:pPr>
        <w:pStyle w:val="Literaturverzeichnis"/>
      </w:pPr>
      <w:r>
        <w:t xml:space="preserve">Sanchez, A., Long, B., Kraus, A. M., &amp; Frank, M. C. (2018). Postural developments modulate children’s visual access to social information. In</w:t>
      </w:r>
      <w:r>
        <w:t xml:space="preserve"> </w:t>
      </w:r>
      <w:r>
        <w:rPr>
          <w:i/>
        </w:rPr>
        <w:t xml:space="preserve">Proceedings of the 40th annual conference of the cognitive science society</w:t>
      </w:r>
      <w:r>
        <w:t xml:space="preserve">.</w:t>
      </w:r>
    </w:p>
    <w:bookmarkEnd w:id="70"/>
    <w:bookmarkStart w:id="71" w:name="ref-Simon2017hand"/>
    <w:p>
      <w:pPr>
        <w:pStyle w:val="Literaturverzeichnis"/>
      </w:pPr>
      <w:r>
        <w:t xml:space="preserve">Simon, T., Joo, H., Matthews, I., &amp; Sheikh, Y. (2017). Hand keypoint detection in single images using multiview bootstrapping. In</w:t>
      </w:r>
      <w:r>
        <w:t xml:space="preserve"> </w:t>
      </w:r>
      <w:r>
        <w:rPr>
          <w:i/>
        </w:rPr>
        <w:t xml:space="preserve">CVPR</w:t>
      </w:r>
      <w:r>
        <w:t xml:space="preserve">.</w:t>
      </w:r>
    </w:p>
    <w:bookmarkEnd w:id="71"/>
    <w:bookmarkStart w:id="72" w:name="ref-smith2018developing"/>
    <w:p>
      <w:pPr>
        <w:pStyle w:val="Literaturverzeichnis"/>
      </w:pPr>
      <w:r>
        <w:t xml:space="preserve">Smith, L. B., Jayaraman, S., Clerkin, E., &amp; Yu, C. (2018). The developing infant creates a curriculum for statistical learning.</w:t>
      </w:r>
      <w:r>
        <w:t xml:space="preserve"> </w:t>
      </w:r>
      <w:r>
        <w:rPr>
          <w:i/>
        </w:rPr>
        <w:t xml:space="preserve">Trends in Cognitive Sciences</w:t>
      </w:r>
      <w:r>
        <w:t xml:space="preserve">,</w:t>
      </w:r>
      <w:r>
        <w:t xml:space="preserve"> </w:t>
      </w:r>
      <w:r>
        <w:rPr>
          <w:i/>
        </w:rPr>
        <w:t xml:space="preserve">22</w:t>
      </w:r>
      <w:r>
        <w:t xml:space="preserve">(4), 325–336.</w:t>
      </w:r>
    </w:p>
    <w:bookmarkEnd w:id="72"/>
    <w:bookmarkStart w:id="73" w:name="ref-smith2011not"/>
    <w:p>
      <w:pPr>
        <w:pStyle w:val="Literaturverzeichnis"/>
      </w:pPr>
      <w:r>
        <w:t xml:space="preserve">Smith, L. B., Yu, C., &amp; Pereira, A. F. (2011). Not your mother’s view: The dynamics of toddler visual experience.</w:t>
      </w:r>
      <w:r>
        <w:t xml:space="preserve"> </w:t>
      </w:r>
      <w:r>
        <w:rPr>
          <w:i/>
        </w:rPr>
        <w:t xml:space="preserve">Developmental Science</w:t>
      </w:r>
      <w:r>
        <w:t xml:space="preserve">,</w:t>
      </w:r>
      <w:r>
        <w:t xml:space="preserve"> </w:t>
      </w:r>
      <w:r>
        <w:rPr>
          <w:i/>
        </w:rPr>
        <w:t xml:space="preserve">14</w:t>
      </w:r>
      <w:r>
        <w:t xml:space="preserve">(1), 9–17.</w:t>
      </w:r>
    </w:p>
    <w:bookmarkEnd w:id="73"/>
    <w:bookmarkStart w:id="74"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
        </w:rPr>
        <w:t xml:space="preserve">Journal of Cognition and Development</w:t>
      </w:r>
      <w:r>
        <w:t xml:space="preserve">,</w:t>
      </w:r>
      <w:r>
        <w:t xml:space="preserve"> </w:t>
      </w:r>
      <w:r>
        <w:rPr>
          <w:i/>
        </w:rPr>
        <w:t xml:space="preserve">16</w:t>
      </w:r>
      <w:r>
        <w:t xml:space="preserve">(3), 407–419.</w:t>
      </w:r>
    </w:p>
    <w:bookmarkEnd w:id="74"/>
    <w:bookmarkStart w:id="75"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
        </w:rPr>
        <w:t xml:space="preserve">Developmental Psychobiology</w:t>
      </w:r>
      <w:r>
        <w:t xml:space="preserve">,</w:t>
      </w:r>
      <w:r>
        <w:t xml:space="preserve"> </w:t>
      </w:r>
      <w:r>
        <w:rPr>
          <w:i/>
        </w:rPr>
        <w:t xml:space="preserve">56</w:t>
      </w:r>
      <w:r>
        <w:t xml:space="preserve">(2), 249–261.</w:t>
      </w:r>
    </w:p>
    <w:bookmarkEnd w:id="75"/>
    <w:bookmarkStart w:id="76" w:name="ref-SAYcam"/>
    <w:p>
      <w:pPr>
        <w:pStyle w:val="Literaturverzeichnis"/>
      </w:pPr>
      <w:r>
        <w:t xml:space="preserve">Sullivan, J., Mei, M., Perfors, A., Wojcik, E., &amp; Frank, M. C. (2021). SAYCam: A large, longitudinal audiovisual dataset recorded from the infant’s perspective.</w:t>
      </w:r>
      <w:r>
        <w:t xml:space="preserve"> </w:t>
      </w:r>
      <w:r>
        <w:rPr>
          <w:i/>
        </w:rPr>
        <w:t xml:space="preserve">Open Mind</w:t>
      </w:r>
      <w:r>
        <w:t xml:space="preserve">.</w:t>
      </w:r>
    </w:p>
    <w:bookmarkEnd w:id="76"/>
    <w:bookmarkStart w:id="77"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
        </w:rPr>
        <w:t xml:space="preserve">arXiv Preprint arXiv:2006.02802</w:t>
      </w:r>
      <w:r>
        <w:t xml:space="preserve">.</w:t>
      </w:r>
    </w:p>
    <w:bookmarkEnd w:id="77"/>
    <w:bookmarkStart w:id="78" w:name="ref-xu2019towards"/>
    <w:p>
      <w:pPr>
        <w:pStyle w:val="Literaturverzeichnis"/>
      </w:pPr>
      <w:r>
        <w:t xml:space="preserve">Xu, F. (2019). Towards a rational constructivist theory of cognitive development.</w:t>
      </w:r>
      <w:r>
        <w:t xml:space="preserve"> </w:t>
      </w:r>
      <w:r>
        <w:rPr>
          <w:i/>
        </w:rPr>
        <w:t xml:space="preserve">Psychological Review</w:t>
      </w:r>
      <w:r>
        <w:t xml:space="preserve">,</w:t>
      </w:r>
      <w:r>
        <w:t xml:space="preserve"> </w:t>
      </w:r>
      <w:r>
        <w:rPr>
          <w:i/>
        </w:rPr>
        <w:t xml:space="preserve">126</w:t>
      </w:r>
      <w:r>
        <w:t xml:space="preserve">(6), 841.</w:t>
      </w:r>
    </w:p>
    <w:bookmarkEnd w:id="78"/>
    <w:bookmarkStart w:id="79"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
        </w:rPr>
        <w:t xml:space="preserve">Frontiers in Psychology</w:t>
      </w:r>
      <w:r>
        <w:t xml:space="preserve">,</w:t>
      </w:r>
      <w:r>
        <w:t xml:space="preserve"> </w:t>
      </w:r>
      <w:r>
        <w:rPr>
          <w:i/>
        </w:rPr>
        <w:t xml:space="preserve">10</w:t>
      </w:r>
      <w:r>
        <w:t xml:space="preserve">, 2987.</w:t>
      </w:r>
    </w:p>
    <w:bookmarkEnd w:id="79"/>
    <w:bookmarkStart w:id="80" w:name="ref-yoshida2008"/>
    <w:p>
      <w:pPr>
        <w:pStyle w:val="Literaturverzeichnis"/>
      </w:pPr>
      <w:r>
        <w:t xml:space="preserve">Yoshida, H., &amp; Smith, L. B. (2008). What’s in view for toddlers? Using a head camera to study visual experience.</w:t>
      </w:r>
      <w:r>
        <w:t xml:space="preserve"> </w:t>
      </w:r>
      <w:r>
        <w:rPr>
          <w:i/>
        </w:rPr>
        <w:t xml:space="preserve">Infancy</w:t>
      </w:r>
      <w:r>
        <w:t xml:space="preserve">,</w:t>
      </w:r>
      <w:r>
        <w:t xml:space="preserve"> </w:t>
      </w:r>
      <w:r>
        <w:rPr>
          <w:i/>
        </w:rPr>
        <w:t xml:space="preserve">13</w:t>
      </w:r>
      <w:r>
        <w:t xml:space="preserve">, 229–248.</w:t>
      </w:r>
    </w:p>
    <w:bookmarkEnd w:id="80"/>
    <w:bookmarkStart w:id="81"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
        </w:rPr>
        <w:t xml:space="preserve">PloS One</w:t>
      </w:r>
      <w:r>
        <w:t xml:space="preserve">,</w:t>
      </w:r>
      <w:r>
        <w:t xml:space="preserve"> </w:t>
      </w:r>
      <w:r>
        <w:rPr>
          <w:i/>
        </w:rPr>
        <w:t xml:space="preserve">8</w:t>
      </w:r>
      <w:r>
        <w:t xml:space="preserve">(11).</w:t>
      </w:r>
    </w:p>
    <w:bookmarkEnd w:id="81"/>
    <w:bookmarkStart w:id="82" w:name="ref-zhuang2020unsupervised"/>
    <w:p>
      <w:pPr>
        <w:pStyle w:val="Literaturverzeichnis"/>
      </w:pPr>
      <w:r>
        <w:t xml:space="preserve">Zhuang, C., She, T., Andonian, A., Mark, M. S., &amp; Yamins, D. (2020). Unsupervised learning from video with deep neural embeddings. In</w:t>
      </w:r>
      <w:r>
        <w:t xml:space="preserve"> </w:t>
      </w:r>
      <w:r>
        <w:rPr>
          <w:i/>
        </w:rPr>
        <w:t xml:space="preserve">Proceedings of the ieee/cvf conference on computer vision and pattern recognition</w:t>
      </w:r>
      <w:r>
        <w:t xml:space="preserve"> </w:t>
      </w:r>
      <w:r>
        <w:t xml:space="preserve">(pp. 9563–9572).</w:t>
      </w:r>
    </w:p>
    <w:bookmarkEnd w:id="82"/>
    <w:bookmarkEnd w:id="83"/>
    <w:sectPr w:rsidR="00006D3F" w:rsidSect="00CB20D0">
      <w:headerReference w:type="even" r:id="rId11"/>
      <w:headerReference w:type="default" r:id="rId10"/>
      <w:headerReference w:type="first" r:id="rId9"/>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unotentext"/>
      </w:pPr>
      <w:r>
        <w:rPr>
          <w:rStyle w:val="Funotenzeichen"/>
        </w:rPr>
        <w:footnoteRef/>
      </w:r>
      <w:r>
        <w:t xml:space="preserve"> </w:t>
      </w:r>
      <w:r>
        <w:t xml:space="preserve">All videos are available at</w:t>
      </w:r>
      <w:r>
        <w:t xml:space="preserve"> </w:t>
      </w:r>
      <w:hyperlink r:id="rId24">
        <w:r>
          <w:rPr>
            <w:rStyle w:val="Hyperlink"/>
          </w:rPr>
          <w:t xml:space="preserve">https://nyu.databrary.org/volume/564</w:t>
        </w:r>
      </w:hyperlink>
      <w:r>
        <w:t xml:space="preserve"> </w:t>
      </w:r>
    </w:p>
  </w:footnote>
  <w:footnote w:id="27">
    <w:p>
      <w:pPr>
        <w:pStyle w:val="Funotentext"/>
      </w:pPr>
      <w:r>
        <w:rPr>
          <w:rStyle w:val="Funotenzeichen"/>
        </w:rPr>
        <w:footnoteRef/>
      </w:r>
      <w:r>
        <w:t xml:space="preserve"> </w:t>
      </w:r>
      <w:hyperlink r:id="rId28">
        <w:r>
          <w:rPr>
            <w:rStyle w:val="Hyperlink"/>
          </w:rPr>
          <w:t xml:space="preserve">https://github.com/CMU-Perceptual-Computing-Lab/openpose</w:t>
        </w:r>
      </w:hyperlink>
    </w:p>
  </w:footnote>
  <w:footnote w:id="33">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8F229A"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871EC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F36ED" w:rsidRDefault="00EF2796" w:rsidP="00572FF5">
    <w:pPr>
      <w:pStyle w:val="Kopfzeile"/>
      <w:ind w:right="357"/>
      <w:rPr>
        <w:lang w:val="de-DE"/>
      </w:rPr>
    </w:pPr>
    <w:r w:rsidRPr="005036C4">
      <w:t>Longitudinal analysis of social information</w:t>
    </w:r>
    <w:r w:rsidR="00871ECB">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3596050"/>
      <w:docPartObj>
        <w:docPartGallery w:val="Page Numbers (Top of Page)"/>
        <w:docPartUnique/>
      </w:docPartObj>
    </w:sdtPr>
    <w:sdtContent>
      <w:p w:rsidR="00CB20D0" w:rsidRDefault="00CB20D0" w:rsidP="00CB20D0">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1</w:t>
        </w:r>
        <w:r>
          <w:rPr>
            <w:rStyle w:val="Seitenzahl"/>
          </w:rPr>
          <w:fldChar w:fldCharType="end"/>
        </w:r>
      </w:p>
    </w:sdtContent>
  </w:sdt>
  <w:p w:rsidR="00CB20D0" w:rsidRPr="00CB20D0" w:rsidRDefault="00CB20D0" w:rsidP="00CB20D0">
    <w:pPr>
      <w:pStyle w:val="Kopfzeile"/>
      <w:ind w:right="357"/>
      <w:rPr>
        <w:lang w:val="de-DE"/>
      </w:rPr>
    </w:pPr>
    <w:r w:rsidRPr="005036C4">
      <w:t>Running head: Longitudinal analysis of social information</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nhideWhenUsed/>
    <w:rsid w:val="00AF36ED"/>
    <w:pPr>
      <w:tabs>
        <w:tab w:val="center" w:pos="4536"/>
        <w:tab w:val="right" w:pos="9072"/>
      </w:tabs>
      <w:spacing w:after="0"/>
    </w:pPr>
  </w:style>
  <w:style w:type="character" w:customStyle="1" w:styleId="KopfzeileZchn">
    <w:name w:val="Kopfzeile Zchn"/>
    <w:basedOn w:val="Absatz-Standardschriftart"/>
    <w:link w:val="Kopfzeile"/>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006D3F"/>
    <w:pPr>
      <w:pageBreakBefore/>
    </w:p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hyperlink" Id="rId59"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65" Target="https://psyarxiv.com/cmj65" TargetMode="External" /></Relationships>
</file>

<file path=word/_rels/footnotes.xml.rels><?xml version="1.0" encoding="UTF-8"?>
<Relationships xmlns="http://schemas.openxmlformats.org/package/2006/relationships"><Relationship Type="http://schemas.openxmlformats.org/officeDocument/2006/relationships/hyperlink" Id="rId59" Target="https://doi.org/10.1371/journal.pone.0123780" TargetMode="External" /><Relationship Type="http://schemas.openxmlformats.org/officeDocument/2006/relationships/hyperlink" Id="rId28" Target="https://github.com/CMU-Perceptual-Computing-Lab/openpose" TargetMode="External" /><Relationship Type="http://schemas.openxmlformats.org/officeDocument/2006/relationships/hyperlink" Id="rId24" Target="https://nyu.databrary.org/volume/564" TargetMode="External" /><Relationship Type="http://schemas.openxmlformats.org/officeDocument/2006/relationships/hyperlink" Id="rId65"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135</Words>
  <Characters>856</Characters>
  <Application>Microsoft Office Word</Application>
  <DocSecurity>0</DocSecurity>
  <Lines>7</Lines>
  <Paragraphs>1</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2021-06-21T20:22:49Z</dcterms:created>
  <dcterms:modified xsi:type="dcterms:W3CDTF">2021-06-21T20:22:49Z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